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PNABCV 03/2024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INDAIATUBA - SP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A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09 -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Secretaria Municipal de Cultura de Indaiatuba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Secretaria Municipal de Cultura de Indaiatuba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espaço físico durante e após o período de realização das ações previstas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durante as ações propostas, garantindo ainda exibições audiovisuais, se houver, que disponham de recursos de legendagem descritiva, audiodescrição e LIBRAS – Língua Brasileira de Sinais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Disponibilizar livre acesso à população beneficiada para todas as ações propostas 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Sobre os bens remanescentes,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 será transferida à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134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20" w:before="240" w:line="24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1F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240" w:line="240" w:lineRule="auto"/>
        <w:ind w:left="0"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2">
      <w:pPr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23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85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-247649</wp:posOffset>
          </wp:positionV>
          <wp:extent cx="2134800" cy="552287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4800" cy="552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914" cy="569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styleId="Normal1" w:customStyle="1">
    <w:name w:val="Normal1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VtJpOfvF41uMtAWIdnP59i37Q==">CgMxLjA4AHIhMTQxT1Y5TTRNd1V0ZmpsdS1CeUdHcEV3V0hHX1ZkUFNq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2023-08-28T01:24:00Z</dcterms:created>
  <dc:creator>Iara da Costa Zannon</dc:creator>
</cp:coreProperties>
</file>