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______________________________________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Prefeitura Municipal de Indaiatuba 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b w:val="1"/>
        <w:rtl w:val="0"/>
      </w:rPr>
      <w:t xml:space="preserve">Secretaria de Cultura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das Primaveras, 210 - </w:t>
    </w:r>
    <w:r w:rsidDel="00000000" w:rsidR="00000000" w:rsidRPr="00000000">
      <w:rPr>
        <w:sz w:val="16"/>
        <w:szCs w:val="16"/>
        <w:rtl w:val="0"/>
      </w:rPr>
      <w:t xml:space="preserve">Jd Pompeia</w:t>
    </w:r>
    <w:r w:rsidDel="00000000" w:rsidR="00000000" w:rsidRPr="00000000">
      <w:rPr>
        <w:sz w:val="16"/>
        <w:szCs w:val="16"/>
        <w:rtl w:val="0"/>
      </w:rPr>
      <w:t xml:space="preserve"> - Indaiatuba-SP 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sz w:val="16"/>
        <w:szCs w:val="16"/>
        <w:rtl w:val="0"/>
      </w:rPr>
      <w:t xml:space="preserve">Tel.: (19) 3875-6144 - E-MAIL: pnab@indaiatuba.sp.gov.br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hcTUC1eKjj0guwIfXRwpKKX6w==">CgMxLjA4AHIhMVIzTTZIMmo2M0ppSDk4Ump1WkZzSEhrRHpfdnVUZ3NI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